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方正黑体简体" w:hAnsi="方正仿宋简体" w:eastAsia="方正黑体简体" w:cs="方正仿宋简体"/>
          <w:color w:val="000000"/>
          <w:kern w:val="0"/>
          <w:sz w:val="32"/>
          <w:szCs w:val="32"/>
        </w:rPr>
      </w:pPr>
      <w:bookmarkStart w:id="0" w:name="PageNo7"/>
      <w:r>
        <w:rPr>
          <w:rFonts w:hint="eastAsia" w:ascii="方正黑体简体" w:hAnsi="方正仿宋简体" w:eastAsia="方正黑体简体" w:cs="方正仿宋简体"/>
          <w:color w:val="000000"/>
          <w:kern w:val="0"/>
          <w:sz w:val="32"/>
          <w:szCs w:val="32"/>
        </w:rPr>
        <w:t>附</w:t>
      </w:r>
      <w:bookmarkEnd w:id="0"/>
      <w:r>
        <w:rPr>
          <w:rFonts w:hint="eastAsia" w:ascii="方正黑体简体" w:hAnsi="方正仿宋简体" w:eastAsia="方正黑体简体" w:cs="方正仿宋简体"/>
          <w:color w:val="000000"/>
          <w:kern w:val="0"/>
          <w:sz w:val="32"/>
          <w:szCs w:val="32"/>
        </w:rPr>
        <w:t>件1</w:t>
      </w:r>
    </w:p>
    <w:p>
      <w:pPr>
        <w:widowControl/>
        <w:spacing w:line="576" w:lineRule="exact"/>
        <w:jc w:val="center"/>
        <w:rPr>
          <w:rFonts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岗位人员招聘计划表</w:t>
      </w:r>
    </w:p>
    <w:tbl>
      <w:tblPr>
        <w:tblStyle w:val="6"/>
        <w:tblW w:w="15365" w:type="dxa"/>
        <w:jc w:val="center"/>
        <w:tblLayout w:type="fixed"/>
        <w:tblCellMar>
          <w:top w:w="0" w:type="dxa"/>
          <w:left w:w="108" w:type="dxa"/>
          <w:bottom w:w="0" w:type="dxa"/>
          <w:right w:w="108" w:type="dxa"/>
        </w:tblCellMar>
      </w:tblPr>
      <w:tblGrid>
        <w:gridCol w:w="403"/>
        <w:gridCol w:w="663"/>
        <w:gridCol w:w="676"/>
        <w:gridCol w:w="3998"/>
        <w:gridCol w:w="9625"/>
      </w:tblGrid>
      <w:tr>
        <w:tblPrEx>
          <w:tblCellMar>
            <w:top w:w="0" w:type="dxa"/>
            <w:left w:w="108" w:type="dxa"/>
            <w:bottom w:w="0" w:type="dxa"/>
            <w:right w:w="108" w:type="dxa"/>
          </w:tblCellMar>
        </w:tblPrEx>
        <w:trPr>
          <w:trHeight w:val="490" w:hRule="atLeast"/>
          <w:jc w:val="center"/>
        </w:trPr>
        <w:tc>
          <w:tcPr>
            <w:tcW w:w="4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序号</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岗位</w:t>
            </w:r>
          </w:p>
          <w:p>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名称</w:t>
            </w:r>
          </w:p>
        </w:tc>
        <w:tc>
          <w:tcPr>
            <w:tcW w:w="6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招聘人数</w:t>
            </w:r>
          </w:p>
        </w:tc>
        <w:tc>
          <w:tcPr>
            <w:tcW w:w="399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招聘条件</w:t>
            </w:r>
          </w:p>
        </w:tc>
        <w:tc>
          <w:tcPr>
            <w:tcW w:w="9625"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岗位职责</w:t>
            </w:r>
          </w:p>
        </w:tc>
      </w:tr>
      <w:tr>
        <w:tblPrEx>
          <w:tblCellMar>
            <w:top w:w="0" w:type="dxa"/>
            <w:left w:w="108" w:type="dxa"/>
            <w:bottom w:w="0" w:type="dxa"/>
            <w:right w:w="108" w:type="dxa"/>
          </w:tblCellMar>
        </w:tblPrEx>
        <w:trPr>
          <w:trHeight w:val="1804" w:hRule="atLeast"/>
          <w:jc w:val="center"/>
        </w:trPr>
        <w:tc>
          <w:tcPr>
            <w:tcW w:w="403" w:type="dxa"/>
            <w:tcBorders>
              <w:top w:val="single" w:color="auto" w:sz="4" w:space="0"/>
              <w:left w:val="single" w:color="auto" w:sz="4" w:space="0"/>
              <w:bottom w:val="single" w:color="auto" w:sz="4" w:space="0"/>
              <w:right w:val="single" w:color="auto" w:sz="4" w:space="0"/>
            </w:tcBorders>
            <w:noWrap/>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1</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低空数字运营工程师</w:t>
            </w:r>
          </w:p>
        </w:tc>
        <w:tc>
          <w:tcPr>
            <w:tcW w:w="67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2</w:t>
            </w:r>
          </w:p>
        </w:tc>
        <w:tc>
          <w:tcPr>
            <w:tcW w:w="3998" w:type="dxa"/>
            <w:tcBorders>
              <w:top w:val="single" w:color="auto" w:sz="4" w:space="0"/>
              <w:left w:val="single" w:color="auto" w:sz="4" w:space="0"/>
              <w:bottom w:val="single" w:color="auto" w:sz="4" w:space="0"/>
              <w:right w:val="single" w:color="auto" w:sz="4" w:space="0"/>
            </w:tcBorders>
            <w:vAlign w:val="center"/>
          </w:tcPr>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1.具有计算机技术与软件技术等信息化中级及以上资格证书或职称证书。</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2.入选地市级及以上数据主管部门数字化专家资格者优先。</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3.</w:t>
            </w:r>
            <w:r>
              <w:rPr>
                <w:rFonts w:hint="eastAsia" w:ascii="方正仿宋_GB2312" w:hAnsi="方正仿宋_GB2312" w:eastAsia="方正仿宋_GB2312" w:cs="方正仿宋_GB2312"/>
                <w:color w:val="000000"/>
                <w:kern w:val="0"/>
                <w:sz w:val="20"/>
                <w:szCs w:val="20"/>
              </w:rPr>
              <w:t>计算机科学与技术、软件工程、网络工程、信息安全相关专业。</w:t>
            </w:r>
          </w:p>
        </w:tc>
        <w:tc>
          <w:tcPr>
            <w:tcW w:w="9625" w:type="dxa"/>
            <w:tcBorders>
              <w:top w:val="single" w:color="auto" w:sz="4" w:space="0"/>
              <w:left w:val="single" w:color="auto" w:sz="4" w:space="0"/>
              <w:bottom w:val="single" w:color="auto" w:sz="4" w:space="0"/>
              <w:right w:val="single" w:color="auto" w:sz="4" w:space="0"/>
            </w:tcBorders>
            <w:vAlign w:val="center"/>
          </w:tcPr>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1.负责市属单位无人机资产整合技术方案设计，推动多平台数据接口开发与系统对接，构建统一可扩展的低空数字管理底座。</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2.牵头低空公共服务平台及低空物流平台的需求分析、功能规划与系统开发，确保系统稳定可靠并贴合业务场景。</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3.推动低空公共服务平台与“城市大脑”的数据链路打通与业务协同，支撑城市治理等领域的数字化应用。</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4.建立低空数据全生命周期标准与规范，实现数据标准化管理与质量控制，探索数据价值挖掘与创新应用。</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5.协同内外部团队推进系统部署、调试与运维保障，实施全生命周期项目管理，确保系统持续稳定运行。</w:t>
            </w:r>
          </w:p>
        </w:tc>
      </w:tr>
      <w:tr>
        <w:tblPrEx>
          <w:tblCellMar>
            <w:top w:w="0" w:type="dxa"/>
            <w:left w:w="108" w:type="dxa"/>
            <w:bottom w:w="0" w:type="dxa"/>
            <w:right w:w="108" w:type="dxa"/>
          </w:tblCellMar>
        </w:tblPrEx>
        <w:trPr>
          <w:trHeight w:val="1457" w:hRule="atLeast"/>
          <w:jc w:val="center"/>
        </w:trPr>
        <w:tc>
          <w:tcPr>
            <w:tcW w:w="403" w:type="dxa"/>
            <w:tcBorders>
              <w:top w:val="single" w:color="auto" w:sz="4" w:space="0"/>
              <w:left w:val="single" w:color="auto" w:sz="4" w:space="0"/>
              <w:bottom w:val="single" w:color="auto" w:sz="4" w:space="0"/>
              <w:right w:val="single" w:color="auto" w:sz="4" w:space="0"/>
            </w:tcBorders>
            <w:noWrap/>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2</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低空运营网络经理</w:t>
            </w:r>
          </w:p>
          <w:p>
            <w:pPr>
              <w:widowControl/>
              <w:spacing w:line="220" w:lineRule="exact"/>
              <w:jc w:val="center"/>
              <w:textAlignment w:val="center"/>
              <w:rPr>
                <w:rFonts w:ascii="方正仿宋_GB2312" w:hAnsi="方正仿宋_GB2312" w:eastAsia="方正仿宋_GB2312" w:cs="方正仿宋_GB2312"/>
                <w:color w:val="000000"/>
                <w:kern w:val="0"/>
                <w:sz w:val="20"/>
                <w:szCs w:val="20"/>
              </w:rPr>
            </w:pPr>
          </w:p>
        </w:tc>
        <w:tc>
          <w:tcPr>
            <w:tcW w:w="67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1</w:t>
            </w:r>
          </w:p>
        </w:tc>
        <w:tc>
          <w:tcPr>
            <w:tcW w:w="3998" w:type="dxa"/>
            <w:tcBorders>
              <w:top w:val="single" w:color="auto" w:sz="4" w:space="0"/>
              <w:left w:val="single" w:color="auto" w:sz="4" w:space="0"/>
              <w:bottom w:val="single" w:color="auto" w:sz="4" w:space="0"/>
              <w:right w:val="single" w:color="auto" w:sz="4" w:space="0"/>
            </w:tcBorders>
            <w:vAlign w:val="center"/>
          </w:tcPr>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1.拥有较强的资源拓展与商务谈判能力，高效对接合作资源。</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2.具有电信运营商相关工作经验者优先。</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3.</w:t>
            </w:r>
            <w:r>
              <w:rPr>
                <w:rFonts w:hint="eastAsia" w:ascii="方正仿宋_GB2312" w:hAnsi="方正仿宋_GB2312" w:eastAsia="方正仿宋_GB2312" w:cs="方正仿宋_GB2312"/>
                <w:color w:val="000000"/>
                <w:kern w:val="0"/>
                <w:sz w:val="20"/>
                <w:szCs w:val="20"/>
              </w:rPr>
              <w:t>计算机科学与技术、软件工程、网络工程、信息安全、市场营销相关专业优先。</w:t>
            </w:r>
          </w:p>
        </w:tc>
        <w:tc>
          <w:tcPr>
            <w:tcW w:w="9625" w:type="dxa"/>
            <w:tcBorders>
              <w:top w:val="single" w:color="auto" w:sz="4" w:space="0"/>
              <w:left w:val="single" w:color="auto" w:sz="4" w:space="0"/>
              <w:bottom w:val="single" w:color="auto" w:sz="4" w:space="0"/>
              <w:right w:val="single" w:color="auto" w:sz="4" w:space="0"/>
            </w:tcBorders>
            <w:vAlign w:val="center"/>
          </w:tcPr>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1.负责低空飞行市场的分析研判，实施低空运营服务网络的开拓搭建和整体运维。</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2.负责与电信运营商的产业对接与协同。</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3.为合作单位提供空域协调、飞行情报、气象等服务支持，建立有人机与无人机协同管理机制。</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4.构建无人机数据网络体系，负责业务规划、网络开通与安全防护，完善数据存储与安全管理规范。</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5.建立运营监控与应急响应机制，制定应急预案并组织突发事件处置。</w:t>
            </w:r>
          </w:p>
        </w:tc>
      </w:tr>
      <w:tr>
        <w:tblPrEx>
          <w:tblCellMar>
            <w:top w:w="0" w:type="dxa"/>
            <w:left w:w="108" w:type="dxa"/>
            <w:bottom w:w="0" w:type="dxa"/>
            <w:right w:w="108" w:type="dxa"/>
          </w:tblCellMar>
        </w:tblPrEx>
        <w:trPr>
          <w:trHeight w:val="1987" w:hRule="atLeast"/>
          <w:jc w:val="center"/>
        </w:trPr>
        <w:tc>
          <w:tcPr>
            <w:tcW w:w="403" w:type="dxa"/>
            <w:tcBorders>
              <w:top w:val="single" w:color="auto" w:sz="4" w:space="0"/>
              <w:left w:val="single" w:color="auto" w:sz="4" w:space="0"/>
              <w:bottom w:val="single" w:color="auto" w:sz="4" w:space="0"/>
              <w:right w:val="single" w:color="auto" w:sz="4" w:space="0"/>
            </w:tcBorders>
            <w:noWrap/>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3</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无人机飞手教员</w:t>
            </w:r>
          </w:p>
        </w:tc>
        <w:tc>
          <w:tcPr>
            <w:tcW w:w="67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kern w:val="0"/>
                <w:sz w:val="20"/>
                <w:szCs w:val="20"/>
              </w:rPr>
              <w:t>3</w:t>
            </w:r>
          </w:p>
        </w:tc>
        <w:tc>
          <w:tcPr>
            <w:tcW w:w="3998" w:type="dxa"/>
            <w:tcBorders>
              <w:top w:val="single" w:color="auto" w:sz="4" w:space="0"/>
              <w:left w:val="single" w:color="auto" w:sz="4" w:space="0"/>
              <w:bottom w:val="single" w:color="auto" w:sz="4" w:space="0"/>
              <w:right w:val="single" w:color="auto" w:sz="4" w:space="0"/>
            </w:tcBorders>
            <w:vAlign w:val="center"/>
          </w:tcPr>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1.持有民航局颁发的民用无人驾驶航空器操控员执照（中型、多旋翼、超视距教员等级），具备合法开展无人机教学与操作的基础资质。</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2.能适应户外教学工作。</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3.有地市级及以上无人机驾驶或培训赛事奖项者可放宽至大专学历。</w:t>
            </w:r>
          </w:p>
        </w:tc>
        <w:tc>
          <w:tcPr>
            <w:tcW w:w="9625" w:type="dxa"/>
            <w:tcBorders>
              <w:top w:val="single" w:color="auto" w:sz="4" w:space="0"/>
              <w:left w:val="single" w:color="auto" w:sz="4" w:space="0"/>
              <w:bottom w:val="single" w:color="auto" w:sz="4" w:space="0"/>
              <w:right w:val="single" w:color="auto" w:sz="4" w:space="0"/>
            </w:tcBorders>
            <w:vAlign w:val="center"/>
          </w:tcPr>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1.负责构建优化“理论—实操—应用—安全”四位一体教学体系，开发涵盖多模块的标准化课程。</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2.负责无人机系统化理论授课，深入讲解飞行原理、空域管理政策、民航法规及地方飞行管控要求，强化学员依法飞行与安全责任意识，筑牢理论基础与合规素养。</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3.组织全场景实训教学，从基础飞行到高阶应用，通过标准化演示、分阶带练与情景模拟，系统提升学员的操控水平、任务执行与复杂环境应对能力。</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4.负责督导教学过程，严格执行教学安全管理制度，落实培训全程安全监督与风险防控，确保教学“零事故”与高质量交付。</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5.负责开发青少年群体无人机足球等特色课程，设计启发式、游戏化教学项目，激发科学兴趣，培育低空领域后备人才。</w:t>
            </w:r>
          </w:p>
        </w:tc>
      </w:tr>
      <w:tr>
        <w:tblPrEx>
          <w:tblCellMar>
            <w:top w:w="0" w:type="dxa"/>
            <w:left w:w="108" w:type="dxa"/>
            <w:bottom w:w="0" w:type="dxa"/>
            <w:right w:w="108" w:type="dxa"/>
          </w:tblCellMar>
        </w:tblPrEx>
        <w:trPr>
          <w:trHeight w:val="1358" w:hRule="atLeast"/>
          <w:jc w:val="center"/>
        </w:trPr>
        <w:tc>
          <w:tcPr>
            <w:tcW w:w="403" w:type="dxa"/>
            <w:tcBorders>
              <w:top w:val="single" w:color="auto" w:sz="4" w:space="0"/>
              <w:left w:val="single" w:color="auto" w:sz="4" w:space="0"/>
              <w:bottom w:val="single" w:color="auto" w:sz="4" w:space="0"/>
              <w:right w:val="single" w:color="auto" w:sz="4" w:space="0"/>
            </w:tcBorders>
            <w:noWrap/>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4</w:t>
            </w:r>
          </w:p>
        </w:tc>
        <w:tc>
          <w:tcPr>
            <w:tcW w:w="663"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招生与培训运营经理</w:t>
            </w:r>
          </w:p>
          <w:p>
            <w:pPr>
              <w:widowControl/>
              <w:spacing w:line="220" w:lineRule="exact"/>
              <w:jc w:val="center"/>
              <w:textAlignment w:val="center"/>
              <w:rPr>
                <w:rFonts w:ascii="方正仿宋_GB2312" w:hAnsi="方正仿宋_GB2312" w:eastAsia="方正仿宋_GB2312" w:cs="方正仿宋_GB2312"/>
                <w:color w:val="000000"/>
                <w:kern w:val="0"/>
                <w:sz w:val="20"/>
                <w:szCs w:val="20"/>
              </w:rPr>
            </w:pPr>
          </w:p>
        </w:tc>
        <w:tc>
          <w:tcPr>
            <w:tcW w:w="67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方正仿宋_GB2312" w:hAnsi="方正仿宋_GB2312" w:eastAsia="方正仿宋_GB2312" w:cs="方正仿宋_GB2312"/>
                <w:color w:val="000000"/>
                <w:kern w:val="0"/>
                <w:sz w:val="20"/>
                <w:szCs w:val="20"/>
              </w:rPr>
            </w:pPr>
            <w:r>
              <w:rPr>
                <w:rFonts w:hint="eastAsia" w:ascii="方正仿宋_GB2312" w:hAnsi="方正仿宋_GB2312" w:eastAsia="方正仿宋_GB2312" w:cs="方正仿宋_GB2312"/>
                <w:color w:val="000000"/>
                <w:kern w:val="0"/>
                <w:sz w:val="20"/>
                <w:szCs w:val="20"/>
              </w:rPr>
              <w:t>1</w:t>
            </w:r>
          </w:p>
        </w:tc>
        <w:tc>
          <w:tcPr>
            <w:tcW w:w="3998" w:type="dxa"/>
            <w:tcBorders>
              <w:top w:val="single" w:color="auto" w:sz="4" w:space="0"/>
              <w:left w:val="single" w:color="auto" w:sz="4" w:space="0"/>
              <w:bottom w:val="single" w:color="auto" w:sz="4" w:space="0"/>
              <w:right w:val="single" w:color="auto" w:sz="4" w:space="0"/>
            </w:tcBorders>
            <w:vAlign w:val="center"/>
          </w:tcPr>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1.具备2年以上企业行政管理工作经历。</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2.有无人机培训、研学教育或相关行业招生运营工作经验者优先。</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3.</w:t>
            </w:r>
            <w:r>
              <w:rPr>
                <w:rFonts w:hint="eastAsia" w:ascii="方正仿宋_GB2312" w:hAnsi="方正仿宋_GB2312" w:eastAsia="方正仿宋_GB2312" w:cs="方正仿宋_GB2312"/>
                <w:color w:val="000000"/>
                <w:kern w:val="0"/>
                <w:sz w:val="20"/>
                <w:szCs w:val="20"/>
              </w:rPr>
              <w:t>人力资源管理、行政管理、市场营销相关专业优先。</w:t>
            </w:r>
          </w:p>
        </w:tc>
        <w:tc>
          <w:tcPr>
            <w:tcW w:w="9625" w:type="dxa"/>
            <w:tcBorders>
              <w:top w:val="single" w:color="auto" w:sz="4" w:space="0"/>
              <w:left w:val="single" w:color="auto" w:sz="4" w:space="0"/>
              <w:bottom w:val="single" w:color="auto" w:sz="4" w:space="0"/>
              <w:right w:val="single" w:color="auto" w:sz="4" w:space="0"/>
            </w:tcBorders>
            <w:vAlign w:val="center"/>
          </w:tcPr>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1.开展区域市场深度调研，分析行业趋势与客群特征，为招生策略与课程优化提供决策依据。</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2.开拓并维护政府、院校、企业等线下生源渠道，运营线上新媒体招生矩阵，提升流量转化效率。</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3.负责招生团队建设与管理，优化销售流程与激励机制，提升咨询—报名—转化全链路效能。</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4.统筹培训项目运营，协调教学、教务与后勤资源，保障教学服务质量和学员满意度。</w:t>
            </w:r>
          </w:p>
          <w:p>
            <w:pPr>
              <w:widowControl/>
              <w:spacing w:line="220" w:lineRule="exact"/>
              <w:textAlignment w:val="center"/>
              <w:rPr>
                <w:rFonts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rPr>
              <w:t>5.构建招生与培训数据监控体系，定期分析渠道成本、转化率等关键指标，驱动运营优化。</w:t>
            </w:r>
          </w:p>
        </w:tc>
      </w:tr>
    </w:tbl>
    <w:p>
      <w:pPr>
        <w:rPr>
          <w:rFonts w:hint="eastAsia"/>
          <w:lang w:eastAsia="zh-CN"/>
        </w:rPr>
      </w:pPr>
      <w:bookmarkStart w:id="1" w:name="_GoBack"/>
      <w:bookmarkEnd w:id="1"/>
    </w:p>
    <w:sectPr>
      <w:pgSz w:w="16838" w:h="11906" w:orient="landscape"/>
      <w:pgMar w:top="1587" w:right="2098" w:bottom="1474" w:left="1984" w:header="720" w:footer="1587"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0000000000000000000"/>
    <w:charset w:val="00"/>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CBF65B5"/>
    <w:rsid w:val="6DFF8A82"/>
    <w:rsid w:val="9BFF8DFD"/>
    <w:rsid w:val="FBF7E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Autospacing="1" w:after="120"/>
    </w:pPr>
  </w:style>
  <w:style w:type="paragraph" w:styleId="3">
    <w:name w:val="toc 1"/>
    <w:basedOn w:val="1"/>
    <w:next w:val="1"/>
    <w:qFormat/>
    <w:uiPriority w:val="39"/>
    <w:pPr>
      <w:widowControl/>
      <w:jc w:val="left"/>
    </w:pPr>
    <w:rPr>
      <w:rFonts w:ascii="Times New Roman" w:hAnsi="Times New Roman"/>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样式1"/>
    <w:basedOn w:val="1"/>
    <w:qFormat/>
    <w:uiPriority w:val="3"/>
    <w:rPr>
      <w:b/>
      <w:color w:val="538135"/>
      <w:sz w:val="28"/>
    </w:rPr>
  </w:style>
  <w:style w:type="character" w:customStyle="1" w:styleId="10">
    <w:name w:val="页眉 字符"/>
    <w:basedOn w:val="7"/>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2264</Words>
  <Characters>2332</Characters>
  <Lines>233</Lines>
  <Paragraphs>183</Paragraphs>
  <TotalTime>5</TotalTime>
  <ScaleCrop>false</ScaleCrop>
  <LinksUpToDate>false</LinksUpToDate>
  <CharactersWithSpaces>4413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2025-11-29T02:04:00Z</dcterms:created>
  <dc:creator>GYFZ</dc:creator>
  <cp:lastModifiedBy>薇姐</cp:lastModifiedBy>
  <cp:lastPrinted>2025-11-29T01:48:00Z</cp:lastPrinted>
  <dcterms:modified xsi:type="dcterms:W3CDTF">2025-11-28T18:13:40Z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AB87C197C5C3B0F19375296905063FF1</vt:lpwstr>
  </property>
</Properties>
</file>